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B677" w14:textId="4B855F6F" w:rsidR="00FA4182" w:rsidRPr="00FA4182" w:rsidRDefault="00FA4182" w:rsidP="00FA4182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es-ES" w:eastAsia="es-MX"/>
        </w:rPr>
      </w:pPr>
      <w:r w:rsidRPr="00FA4182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00"/>
          <w:lang w:val="es-ES" w:eastAsia="es-MX"/>
        </w:rPr>
        <w:t>FECHA: 06/08/2020</w:t>
      </w:r>
    </w:p>
    <w:p w14:paraId="49DEFFA5" w14:textId="73AC53AB" w:rsidR="001F36F5" w:rsidRPr="001F36F5" w:rsidRDefault="001F36F5" w:rsidP="007D74D2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ES" w:eastAsia="es-MX"/>
        </w:rPr>
        <w:t>-----------------------------------------------------------------------------------------------</w:t>
      </w:r>
    </w:p>
    <w:p w14:paraId="0B0233B6" w14:textId="549376D1" w:rsidR="001F36F5" w:rsidRPr="00FA4182" w:rsidRDefault="001F36F5" w:rsidP="00FA0524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val="es-AR" w:eastAsia="es-MX"/>
        </w:rPr>
      </w:pPr>
      <w:r w:rsidRPr="00FA4182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AR" w:eastAsia="es-MX"/>
        </w:rPr>
        <w:t>TEXTO PAGINA WEB</w:t>
      </w:r>
      <w:r w:rsidR="00383945" w:rsidRPr="00FA4182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AR" w:eastAsia="es-MX"/>
        </w:rPr>
        <w:t xml:space="preserve"> </w:t>
      </w:r>
    </w:p>
    <w:p w14:paraId="6E868DA1" w14:textId="219EEF16" w:rsidR="001F36F5" w:rsidRPr="001F36F5" w:rsidRDefault="001F36F5" w:rsidP="001F36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 w:rsidRPr="001F36F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00"/>
          <w:lang w:val="es-ES" w:eastAsia="es-MX"/>
        </w:rPr>
        <w:t>Título:</w:t>
      </w:r>
      <w:r w:rsidR="00821FF3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00"/>
          <w:lang w:val="es-ES" w:eastAsia="es-MX"/>
        </w:rPr>
        <w:t xml:space="preserve"> </w:t>
      </w:r>
      <w:r w:rsidR="006B4E5E" w:rsidRPr="006B4E5E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IGJ Resolución 33/2020 – </w:t>
      </w:r>
      <w:r w:rsidR="00383945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REGISTRO DE </w:t>
      </w:r>
      <w:r w:rsidR="006B4E5E" w:rsidRPr="006B4E5E">
        <w:rPr>
          <w:rFonts w:ascii="Calibri" w:eastAsia="Times New Roman" w:hAnsi="Calibri" w:cs="Times New Roman"/>
          <w:b/>
          <w:bCs/>
          <w:color w:val="201F1E"/>
          <w:lang w:eastAsia="es-MX"/>
        </w:rPr>
        <w:t>FIDEICOMISOS</w:t>
      </w:r>
    </w:p>
    <w:p w14:paraId="3AF44263" w14:textId="75EC8907" w:rsidR="001F36F5" w:rsidRPr="001F36F5" w:rsidRDefault="001F36F5" w:rsidP="001F36F5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  <w:lang w:val="es-ES" w:eastAsia="es-MX"/>
        </w:rPr>
        <w:t>Por:</w:t>
      </w:r>
      <w:r w:rsidR="00821FF3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ES" w:eastAsia="es-MX"/>
        </w:rPr>
        <w:t xml:space="preserve"> </w:t>
      </w:r>
      <w:r w:rsidRPr="001F36F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>Mariana Vázquez</w:t>
      </w:r>
      <w:r w:rsidR="0038394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>, Dolores M. Gallo</w:t>
      </w:r>
      <w:r w:rsidR="00AA4FE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 xml:space="preserve"> </w:t>
      </w:r>
      <w:r w:rsidRPr="001F36F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 xml:space="preserve">y </w:t>
      </w:r>
      <w:r w:rsidR="00E83B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>Matías Barroca</w:t>
      </w:r>
    </w:p>
    <w:p w14:paraId="47A3B531" w14:textId="20148B4C" w:rsidR="001F36F5" w:rsidRPr="001F36F5" w:rsidRDefault="001F36F5" w:rsidP="001F36F5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  <w:lang w:val="es-ES" w:eastAsia="es-MX"/>
        </w:rPr>
        <w:t>Área de Servicio:</w:t>
      </w: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ES" w:eastAsia="es-MX"/>
        </w:rPr>
        <w:t> </w:t>
      </w:r>
      <w:r w:rsidR="00AA4FEE" w:rsidRPr="00AA4FE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>Corporativo &amp; M&amp;A</w:t>
      </w:r>
    </w:p>
    <w:p w14:paraId="6E6B01D9" w14:textId="77777777" w:rsidR="001F36F5" w:rsidRPr="001F36F5" w:rsidRDefault="001F36F5" w:rsidP="001F36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MX"/>
        </w:rPr>
      </w:pPr>
      <w:r w:rsidRPr="001F36F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00"/>
          <w:lang w:val="es-ES" w:eastAsia="es-MX"/>
        </w:rPr>
        <w:t>Texto:</w:t>
      </w:r>
      <w:r w:rsidRPr="001F36F5">
        <w:rPr>
          <w:rFonts w:ascii="Calibri" w:eastAsia="Times New Roman" w:hAnsi="Calibri" w:cs="Times New Roman"/>
          <w:color w:val="000000"/>
          <w:bdr w:val="none" w:sz="0" w:space="0" w:color="auto" w:frame="1"/>
          <w:lang w:val="es-ES" w:eastAsia="es-MX"/>
        </w:rPr>
        <w:t> </w:t>
      </w:r>
    </w:p>
    <w:p w14:paraId="6465ACD7" w14:textId="77777777" w:rsidR="00832153" w:rsidRDefault="00832153" w:rsidP="00494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</w:p>
    <w:p w14:paraId="5988C118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>
        <w:rPr>
          <w:rFonts w:ascii="Calibri" w:eastAsia="Times New Roman" w:hAnsi="Calibri" w:cs="Times New Roman"/>
          <w:color w:val="201F1E"/>
          <w:lang w:eastAsia="es-MX"/>
        </w:rPr>
        <w:t xml:space="preserve">El 6 de agosto de 2020 fue 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 xml:space="preserve">publicada en el Boletín Oficial la </w:t>
      </w:r>
      <w:r w:rsidRPr="00517554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Resolución </w:t>
      </w:r>
      <w:proofErr w:type="spellStart"/>
      <w:r w:rsidRPr="00517554">
        <w:rPr>
          <w:rFonts w:ascii="Calibri" w:eastAsia="Times New Roman" w:hAnsi="Calibri" w:cs="Times New Roman"/>
          <w:b/>
          <w:bCs/>
          <w:color w:val="201F1E"/>
          <w:lang w:eastAsia="es-MX"/>
        </w:rPr>
        <w:t>N°</w:t>
      </w:r>
      <w:proofErr w:type="spellEnd"/>
      <w:r w:rsidRPr="00517554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 33/2020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 xml:space="preserve"> (la “</w:t>
      </w:r>
      <w:r w:rsidRPr="00253E3F">
        <w:rPr>
          <w:rFonts w:ascii="Calibri" w:eastAsia="Times New Roman" w:hAnsi="Calibri" w:cs="Times New Roman"/>
          <w:color w:val="201F1E"/>
          <w:u w:val="single"/>
          <w:lang w:eastAsia="es-MX"/>
        </w:rPr>
        <w:t>Resolución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>”) de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>l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a Inspección General de Justicia 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>(“</w:t>
      </w:r>
      <w:r>
        <w:rPr>
          <w:rFonts w:ascii="Calibri" w:eastAsia="Times New Roman" w:hAnsi="Calibri" w:cs="Times New Roman"/>
          <w:color w:val="201F1E"/>
          <w:u w:val="single"/>
          <w:lang w:eastAsia="es-MX"/>
        </w:rPr>
        <w:t>IGJ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 xml:space="preserve">”), </w:t>
      </w:r>
      <w:r>
        <w:rPr>
          <w:rFonts w:ascii="Calibri" w:eastAsia="Times New Roman" w:hAnsi="Calibri" w:cs="Times New Roman"/>
          <w:color w:val="201F1E"/>
          <w:lang w:eastAsia="es-MX"/>
        </w:rPr>
        <w:t>por medio de la cual restablece,</w:t>
      </w:r>
      <w:r w:rsidRPr="007B6ADF">
        <w:rPr>
          <w:rFonts w:ascii="Calibri" w:eastAsia="Times New Roman" w:hAnsi="Calibri" w:cs="Times New Roman"/>
          <w:color w:val="201F1E"/>
          <w:lang w:eastAsia="es-MX"/>
        </w:rPr>
        <w:t xml:space="preserve"> con algunas modificaciones, el </w:t>
      </w:r>
      <w:r>
        <w:rPr>
          <w:rFonts w:ascii="Calibri" w:eastAsia="Times New Roman" w:hAnsi="Calibri" w:cs="Times New Roman"/>
          <w:color w:val="201F1E"/>
          <w:lang w:eastAsia="es-MX"/>
        </w:rPr>
        <w:t>régimen anterior a la Resolución General IGJ N 6/2016.</w:t>
      </w:r>
    </w:p>
    <w:p w14:paraId="6E6496C0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</w:p>
    <w:p w14:paraId="23F82635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u w:val="single"/>
          <w:lang w:val="es-AR" w:eastAsia="es-MX"/>
        </w:rPr>
      </w:pPr>
      <w:r>
        <w:rPr>
          <w:rFonts w:ascii="Calibri" w:eastAsia="Times New Roman" w:hAnsi="Calibri" w:cs="Times New Roman"/>
          <w:color w:val="201F1E"/>
          <w:lang w:eastAsia="es-MX"/>
        </w:rPr>
        <w:t xml:space="preserve">Recordamos que la Resolución General IGJ 6/2016 limitó la </w:t>
      </w:r>
      <w:r w:rsidRPr="00A64084">
        <w:rPr>
          <w:rFonts w:ascii="Calibri" w:eastAsia="Times New Roman" w:hAnsi="Calibri" w:cs="Times New Roman"/>
          <w:color w:val="201F1E"/>
          <w:lang w:val="es-AR" w:eastAsia="es-MX"/>
        </w:rPr>
        <w:t xml:space="preserve">competencia </w:t>
      </w:r>
      <w:r>
        <w:rPr>
          <w:rFonts w:ascii="Calibri" w:eastAsia="Times New Roman" w:hAnsi="Calibri" w:cs="Times New Roman"/>
          <w:color w:val="201F1E"/>
          <w:lang w:val="es-AR" w:eastAsia="es-MX"/>
        </w:rPr>
        <w:t>de la IGJ respecto de</w:t>
      </w:r>
      <w:r w:rsidRPr="00A64084">
        <w:rPr>
          <w:rFonts w:ascii="Calibri" w:eastAsia="Times New Roman" w:hAnsi="Calibri" w:cs="Times New Roman"/>
          <w:color w:val="201F1E"/>
          <w:lang w:val="es-AR" w:eastAsia="es-MX"/>
        </w:rPr>
        <w:t xml:space="preserve"> la registración de</w:t>
      </w:r>
      <w:r>
        <w:rPr>
          <w:rFonts w:ascii="Calibri" w:eastAsia="Times New Roman" w:hAnsi="Calibri" w:cs="Times New Roman"/>
          <w:color w:val="201F1E"/>
          <w:lang w:val="es-AR" w:eastAsia="es-MX"/>
        </w:rPr>
        <w:t xml:space="preserve"> estos </w:t>
      </w:r>
      <w:r w:rsidRPr="00A64084">
        <w:rPr>
          <w:rFonts w:ascii="Calibri" w:eastAsia="Times New Roman" w:hAnsi="Calibri" w:cs="Times New Roman"/>
          <w:color w:val="201F1E"/>
          <w:lang w:val="es-AR" w:eastAsia="es-MX"/>
        </w:rPr>
        <w:t>contratos</w:t>
      </w:r>
      <w:r>
        <w:rPr>
          <w:rFonts w:ascii="Calibri" w:eastAsia="Times New Roman" w:hAnsi="Calibri" w:cs="Times New Roman"/>
          <w:color w:val="201F1E"/>
          <w:lang w:val="es-AR" w:eastAsia="es-MX"/>
        </w:rPr>
        <w:t xml:space="preserve">, 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establecido que solamente debían inscribirse aquellos fideicomisos </w:t>
      </w:r>
      <w:r w:rsidRPr="00823BE9">
        <w:rPr>
          <w:rFonts w:ascii="Calibri" w:eastAsia="Times New Roman" w:hAnsi="Calibri" w:cs="Times New Roman"/>
          <w:color w:val="201F1E"/>
          <w:lang w:val="es-AR" w:eastAsia="es-MX"/>
        </w:rPr>
        <w:t>y sus modificaciones</w:t>
      </w:r>
      <w:r>
        <w:rPr>
          <w:rFonts w:ascii="Calibri" w:eastAsia="Times New Roman" w:hAnsi="Calibri" w:cs="Times New Roman"/>
          <w:color w:val="201F1E"/>
          <w:lang w:val="es-AR" w:eastAsia="es-MX"/>
        </w:rPr>
        <w:t xml:space="preserve"> </w:t>
      </w:r>
      <w:r w:rsidRPr="00823BE9">
        <w:rPr>
          <w:rFonts w:ascii="Calibri" w:eastAsia="Times New Roman" w:hAnsi="Calibri" w:cs="Times New Roman"/>
          <w:color w:val="201F1E"/>
          <w:lang w:val="es-AR" w:eastAsia="es-MX"/>
        </w:rPr>
        <w:t>cuyos objetos incluy</w:t>
      </w:r>
      <w:r>
        <w:rPr>
          <w:rFonts w:ascii="Calibri" w:eastAsia="Times New Roman" w:hAnsi="Calibri" w:cs="Times New Roman"/>
          <w:color w:val="201F1E"/>
          <w:lang w:val="es-AR" w:eastAsia="es-MX"/>
        </w:rPr>
        <w:t xml:space="preserve">eran </w:t>
      </w:r>
      <w:r w:rsidRPr="00823BE9">
        <w:rPr>
          <w:rFonts w:ascii="Calibri" w:eastAsia="Times New Roman" w:hAnsi="Calibri" w:cs="Times New Roman"/>
          <w:color w:val="201F1E"/>
          <w:u w:val="single"/>
          <w:lang w:val="es-AR" w:eastAsia="es-MX"/>
        </w:rPr>
        <w:t>acciones y/o cuotas de sociedades inscriptas ante</w:t>
      </w:r>
      <w:r>
        <w:rPr>
          <w:rFonts w:ascii="Calibri" w:eastAsia="Times New Roman" w:hAnsi="Calibri" w:cs="Times New Roman"/>
          <w:color w:val="201F1E"/>
          <w:u w:val="single"/>
          <w:lang w:val="es-AR" w:eastAsia="es-MX"/>
        </w:rPr>
        <w:t xml:space="preserve"> dicho organismo. </w:t>
      </w:r>
    </w:p>
    <w:p w14:paraId="01DE8CCF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u w:val="single"/>
          <w:lang w:val="es-AR" w:eastAsia="es-MX"/>
        </w:rPr>
      </w:pPr>
    </w:p>
    <w:p w14:paraId="51CC9499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  <w:r>
        <w:rPr>
          <w:rFonts w:ascii="Calibri" w:eastAsia="Times New Roman" w:hAnsi="Calibri" w:cs="Times New Roman"/>
          <w:color w:val="201F1E"/>
          <w:lang w:eastAsia="es-MX"/>
        </w:rPr>
        <w:t xml:space="preserve">A partir de la nueva Resolución, </w:t>
      </w:r>
      <w:r w:rsidRPr="00B12319">
        <w:rPr>
          <w:rFonts w:ascii="Calibri" w:eastAsia="Times New Roman" w:hAnsi="Calibri" w:cs="Times New Roman"/>
          <w:color w:val="201F1E"/>
          <w:lang w:val="es-AR" w:eastAsia="es-MX"/>
        </w:rPr>
        <w:t>los contratos de fideicomiso</w:t>
      </w:r>
      <w:r w:rsidDel="00823BE9"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>
        <w:rPr>
          <w:rFonts w:ascii="Calibri" w:eastAsia="Times New Roman" w:hAnsi="Calibri" w:cs="Times New Roman"/>
          <w:color w:val="201F1E"/>
          <w:lang w:eastAsia="es-MX"/>
        </w:rPr>
        <w:t>deberán inscribirse ante la IGJ,</w:t>
      </w:r>
      <w:r w:rsidRPr="00B12319">
        <w:rPr>
          <w:rFonts w:ascii="Calibri" w:eastAsia="Times New Roman" w:hAnsi="Calibri" w:cs="Times New Roman"/>
          <w:color w:val="201F1E"/>
          <w:lang w:val="es-AR" w:eastAsia="es-MX"/>
        </w:rPr>
        <w:t xml:space="preserve"> en los siguientes supuestos:</w:t>
      </w:r>
    </w:p>
    <w:p w14:paraId="306DA2A7" w14:textId="77777777" w:rsidR="00383945" w:rsidRPr="00B12319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</w:p>
    <w:p w14:paraId="7905AED1" w14:textId="39437ECA" w:rsidR="00383945" w:rsidRPr="001F013F" w:rsidRDefault="00383945" w:rsidP="001F013F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  <w:r w:rsidRPr="001F013F">
        <w:rPr>
          <w:rFonts w:ascii="Calibri" w:eastAsia="Times New Roman" w:hAnsi="Calibri" w:cs="Times New Roman"/>
          <w:color w:val="201F1E"/>
          <w:lang w:val="es-AR" w:eastAsia="es-MX"/>
        </w:rPr>
        <w:t>uando al menos uno o más de los fiduciarios designados posea domicilio real o especial en jurisdicción de la Ciudad Autónoma de Buenos Aires; o,</w:t>
      </w:r>
    </w:p>
    <w:p w14:paraId="6A107312" w14:textId="2F4D0C34" w:rsidR="00383945" w:rsidRPr="00517554" w:rsidRDefault="00383945" w:rsidP="001F013F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  <w:r w:rsidRPr="00517554">
        <w:rPr>
          <w:rFonts w:ascii="Calibri" w:eastAsia="Times New Roman" w:hAnsi="Calibri" w:cs="Times New Roman"/>
          <w:color w:val="201F1E"/>
          <w:lang w:val="es-AR" w:eastAsia="es-MX"/>
        </w:rPr>
        <w:t xml:space="preserve">Cuando acciones, incluidas las de Sociedades por Acciones Simplificadas, o cuotas sociales de una sociedad inscripta ante la IGJ, o establecimientos industriales o comerciales ubicados en la Ciudad Autónoma de Buenos Aires cuya transmisión se rija por la Ley </w:t>
      </w:r>
      <w:proofErr w:type="spellStart"/>
      <w:r w:rsidRPr="00517554">
        <w:rPr>
          <w:rFonts w:ascii="Calibri" w:eastAsia="Times New Roman" w:hAnsi="Calibri" w:cs="Times New Roman"/>
          <w:color w:val="201F1E"/>
          <w:lang w:val="es-AR" w:eastAsia="es-MX"/>
        </w:rPr>
        <w:t>N°</w:t>
      </w:r>
      <w:proofErr w:type="spellEnd"/>
      <w:r w:rsidRPr="00517554">
        <w:rPr>
          <w:rFonts w:ascii="Calibri" w:eastAsia="Times New Roman" w:hAnsi="Calibri" w:cs="Times New Roman"/>
          <w:color w:val="201F1E"/>
          <w:lang w:val="es-AR" w:eastAsia="es-MX"/>
        </w:rPr>
        <w:t> 11.867, formen parte de los bienes objeto del contrato de fideicomiso; o,</w:t>
      </w:r>
    </w:p>
    <w:p w14:paraId="141B7027" w14:textId="77777777" w:rsidR="00383945" w:rsidRPr="00517554" w:rsidRDefault="00383945" w:rsidP="001F013F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  <w:r w:rsidRPr="00517554">
        <w:rPr>
          <w:rFonts w:ascii="Calibri" w:eastAsia="Times New Roman" w:hAnsi="Calibri" w:cs="Times New Roman"/>
          <w:color w:val="201F1E"/>
          <w:lang w:val="es-AR" w:eastAsia="es-MX"/>
        </w:rPr>
        <w:t>Cuando existan bienes muebles o inmuebles que formen parte de los bienes objeto del contrato de fideicomiso ubicados en la Ciudad Autónoma de Buenos.</w:t>
      </w:r>
    </w:p>
    <w:p w14:paraId="7BAA503F" w14:textId="77777777" w:rsidR="00383945" w:rsidRPr="00B12319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val="es-AR" w:eastAsia="es-MX"/>
        </w:rPr>
      </w:pPr>
    </w:p>
    <w:p w14:paraId="4FD5770C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>
        <w:rPr>
          <w:rFonts w:ascii="Calibri" w:eastAsia="Times New Roman" w:hAnsi="Calibri" w:cs="Times New Roman"/>
          <w:color w:val="201F1E"/>
          <w:lang w:eastAsia="es-MX"/>
        </w:rPr>
        <w:t>S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i el contrato de fideicomiso involucra</w:t>
      </w:r>
      <w:r>
        <w:rPr>
          <w:rFonts w:ascii="Calibri" w:eastAsia="Times New Roman" w:hAnsi="Calibri" w:cs="Times New Roman"/>
          <w:color w:val="201F1E"/>
          <w:lang w:eastAsia="es-MX"/>
        </w:rPr>
        <w:t>ra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 xml:space="preserve"> bienes registrables no comprendidos en el inciso 2°, su inscripción será de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cumplimiento previo a la de la transmisión fiduciaria de dichos bienes en los registros que correspondan a los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mismos de conformidad con los artículos 1683 y 1684 del Código Civil y Comercial de la Nación.</w:t>
      </w:r>
    </w:p>
    <w:p w14:paraId="4B44F26E" w14:textId="77777777" w:rsidR="00383945" w:rsidRPr="0053379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</w:p>
    <w:p w14:paraId="2F155575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>
        <w:rPr>
          <w:rFonts w:ascii="Calibri" w:eastAsia="Times New Roman" w:hAnsi="Calibri" w:cs="Times New Roman"/>
          <w:color w:val="201F1E"/>
          <w:lang w:eastAsia="es-MX"/>
        </w:rPr>
        <w:t xml:space="preserve">Por último, la Resolución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reincorpora la obligaci</w:t>
      </w:r>
      <w:r>
        <w:rPr>
          <w:rFonts w:ascii="Calibri" w:eastAsia="Times New Roman" w:hAnsi="Calibri" w:cs="Times New Roman"/>
          <w:color w:val="201F1E"/>
          <w:lang w:eastAsia="es-MX"/>
        </w:rPr>
        <w:t>ó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n de cum</w:t>
      </w:r>
      <w:r>
        <w:rPr>
          <w:rFonts w:ascii="Calibri" w:eastAsia="Times New Roman" w:hAnsi="Calibri" w:cs="Times New Roman"/>
          <w:color w:val="201F1E"/>
          <w:lang w:eastAsia="es-MX"/>
        </w:rPr>
        <w:t>p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lir con el r</w:t>
      </w:r>
      <w:r>
        <w:rPr>
          <w:rFonts w:ascii="Calibri" w:eastAsia="Times New Roman" w:hAnsi="Calibri" w:cs="Times New Roman"/>
          <w:color w:val="201F1E"/>
          <w:lang w:eastAsia="es-MX"/>
        </w:rPr>
        <w:t>é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gimen contable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previsto en el régimen anterior,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agregando en esta oportunidad que si el contenido de la rendición de cuentas y/o de la documentación que la complemente o instruya describ</w:t>
      </w:r>
      <w:r>
        <w:rPr>
          <w:rFonts w:ascii="Calibri" w:eastAsia="Times New Roman" w:hAnsi="Calibri" w:cs="Times New Roman"/>
          <w:color w:val="201F1E"/>
          <w:lang w:eastAsia="es-MX"/>
        </w:rPr>
        <w:t>iera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 xml:space="preserve"> como actividad del fiduciario actos de administración, adquisición, disposición, inversión o gravamen de bienes del patrimonio fiduciario suficientemente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individualizados,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que impli</w:t>
      </w:r>
      <w:r>
        <w:rPr>
          <w:rFonts w:ascii="Calibri" w:eastAsia="Times New Roman" w:hAnsi="Calibri" w:cs="Times New Roman"/>
          <w:color w:val="201F1E"/>
          <w:lang w:eastAsia="es-MX"/>
        </w:rPr>
        <w:t>caran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 xml:space="preserve"> una modificación de la composición del patrimonio fiduciario, deberá presentarse a inscripción el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documento que lo refleje, conformado por el fiduciante, el beneficiario y/o el fideicomisario, según corresponda, o en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 xml:space="preserve">su defecto la 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lastRenderedPageBreak/>
        <w:t>declaración jurada del fiduciario de haber mediado aprobación tácita de la rendición de cuentas con la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q</w:t>
      </w:r>
      <w:r w:rsidRPr="00533795">
        <w:rPr>
          <w:rFonts w:ascii="Calibri" w:eastAsia="Times New Roman" w:hAnsi="Calibri" w:cs="Times New Roman"/>
          <w:color w:val="201F1E"/>
          <w:lang w:eastAsia="es-MX"/>
        </w:rPr>
        <w:t>ue se relacione el documento por inscribir.</w:t>
      </w:r>
    </w:p>
    <w:p w14:paraId="607C27C5" w14:textId="77777777" w:rsidR="00383945" w:rsidRPr="006A325C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</w:p>
    <w:p w14:paraId="160E883C" w14:textId="77777777" w:rsidR="00383945" w:rsidRDefault="00383945" w:rsidP="003839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 w:rsidRPr="00174933">
        <w:rPr>
          <w:rFonts w:ascii="Calibri" w:eastAsia="Times New Roman" w:hAnsi="Calibri" w:cs="Times New Roman"/>
          <w:color w:val="201F1E"/>
          <w:lang w:eastAsia="es-MX"/>
        </w:rPr>
        <w:t xml:space="preserve">La Resolución </w:t>
      </w:r>
      <w:proofErr w:type="gramStart"/>
      <w:r w:rsidRPr="00174933">
        <w:rPr>
          <w:rFonts w:ascii="Calibri" w:eastAsia="Times New Roman" w:hAnsi="Calibri" w:cs="Times New Roman"/>
          <w:color w:val="201F1E"/>
          <w:lang w:eastAsia="es-MX"/>
        </w:rPr>
        <w:t>ent</w:t>
      </w:r>
      <w:r>
        <w:rPr>
          <w:rFonts w:ascii="Calibri" w:eastAsia="Times New Roman" w:hAnsi="Calibri" w:cs="Times New Roman"/>
          <w:color w:val="201F1E"/>
          <w:lang w:eastAsia="es-MX"/>
        </w:rPr>
        <w:t>ró</w:t>
      </w:r>
      <w:r w:rsidRPr="00174933">
        <w:rPr>
          <w:rFonts w:ascii="Calibri" w:eastAsia="Times New Roman" w:hAnsi="Calibri" w:cs="Times New Roman"/>
          <w:color w:val="201F1E"/>
          <w:lang w:eastAsia="es-MX"/>
        </w:rPr>
        <w:t xml:space="preserve"> en vigencia</w:t>
      </w:r>
      <w:proofErr w:type="gramEnd"/>
      <w:r w:rsidRPr="00174933">
        <w:rPr>
          <w:rFonts w:ascii="Calibri" w:eastAsia="Times New Roman" w:hAnsi="Calibri" w:cs="Times New Roman"/>
          <w:color w:val="201F1E"/>
          <w:lang w:eastAsia="es-MX"/>
        </w:rPr>
        <w:t xml:space="preserve"> el 6 de agosto de 2020.</w:t>
      </w:r>
    </w:p>
    <w:p w14:paraId="06A9DCFF" w14:textId="77777777" w:rsidR="00B26DF3" w:rsidRPr="006A325C" w:rsidRDefault="00B26DF3" w:rsidP="00B26D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</w:p>
    <w:p w14:paraId="4A42176C" w14:textId="2A2856CA" w:rsidR="001F36F5" w:rsidRPr="00494759" w:rsidRDefault="001F36F5" w:rsidP="004947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  <w:lang w:val="es-ES" w:eastAsia="es-MX"/>
        </w:rPr>
        <w:t>Archivos adjuntos:</w:t>
      </w: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ES" w:eastAsia="es-MX"/>
        </w:rPr>
        <w:t> </w:t>
      </w:r>
      <w:r w:rsidRPr="001F36F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s-ES" w:eastAsia="es-MX"/>
        </w:rPr>
        <w:t>SI</w:t>
      </w:r>
    </w:p>
    <w:p w14:paraId="648956BC" w14:textId="7B50AF65" w:rsidR="001F36F5" w:rsidRPr="001F36F5" w:rsidRDefault="001F36F5" w:rsidP="00E16730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1F36F5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val="es-ES" w:eastAsia="es-MX"/>
        </w:rPr>
        <w:t>-----------------------------------------------------------------------------------------------</w:t>
      </w:r>
    </w:p>
    <w:p w14:paraId="17013770" w14:textId="3EB03552" w:rsidR="00FA0524" w:rsidRDefault="001F36F5" w:rsidP="00FA05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val="es-ES" w:eastAsia="es-MX"/>
        </w:rPr>
      </w:pPr>
      <w:r w:rsidRPr="001F36F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00"/>
          <w:lang w:val="es-ES" w:eastAsia="es-MX"/>
        </w:rPr>
        <w:t>LINKEDIN</w:t>
      </w:r>
    </w:p>
    <w:p w14:paraId="54F6C9F6" w14:textId="77777777" w:rsidR="00FA0524" w:rsidRDefault="00FA0524" w:rsidP="001F36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val="es-ES" w:eastAsia="es-MX"/>
        </w:rPr>
      </w:pPr>
    </w:p>
    <w:p w14:paraId="03D15599" w14:textId="08EB278E" w:rsidR="001F36F5" w:rsidRPr="001F36F5" w:rsidRDefault="006B4E5E" w:rsidP="001F36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s-MX"/>
        </w:rPr>
      </w:pPr>
      <w:r w:rsidRPr="006B4E5E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IGJ Resolución 33/2020 – </w:t>
      </w:r>
      <w:r w:rsidR="00383945">
        <w:rPr>
          <w:rFonts w:ascii="Calibri" w:eastAsia="Times New Roman" w:hAnsi="Calibri" w:cs="Times New Roman"/>
          <w:b/>
          <w:bCs/>
          <w:color w:val="201F1E"/>
          <w:lang w:eastAsia="es-MX"/>
        </w:rPr>
        <w:t>REGISTRO DE FIDEICOMISOS</w:t>
      </w:r>
      <w:r w:rsidR="001F36F5" w:rsidRPr="001F36F5">
        <w:rPr>
          <w:rFonts w:ascii="Calibri" w:eastAsia="Times New Roman" w:hAnsi="Calibri" w:cs="Times New Roman"/>
          <w:color w:val="201F1E"/>
          <w:lang w:eastAsia="es-MX"/>
        </w:rPr>
        <w:t xml:space="preserve">. 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El 6 de agosto de 2020 fue 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 xml:space="preserve">publicada en el Boletín Oficial la </w:t>
      </w:r>
      <w:r w:rsidRPr="001F013F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Resolución </w:t>
      </w:r>
      <w:proofErr w:type="spellStart"/>
      <w:r w:rsidRPr="001F013F">
        <w:rPr>
          <w:rFonts w:ascii="Calibri" w:eastAsia="Times New Roman" w:hAnsi="Calibri" w:cs="Times New Roman"/>
          <w:b/>
          <w:bCs/>
          <w:color w:val="201F1E"/>
          <w:lang w:eastAsia="es-MX"/>
        </w:rPr>
        <w:t>N°</w:t>
      </w:r>
      <w:proofErr w:type="spellEnd"/>
      <w:r w:rsidRPr="001F013F">
        <w:rPr>
          <w:rFonts w:ascii="Calibri" w:eastAsia="Times New Roman" w:hAnsi="Calibri" w:cs="Times New Roman"/>
          <w:b/>
          <w:bCs/>
          <w:color w:val="201F1E"/>
          <w:lang w:eastAsia="es-MX"/>
        </w:rPr>
        <w:t xml:space="preserve"> 33/2020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 xml:space="preserve"> de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Pr="001F36F5">
        <w:rPr>
          <w:rFonts w:ascii="Calibri" w:eastAsia="Times New Roman" w:hAnsi="Calibri" w:cs="Times New Roman"/>
          <w:color w:val="201F1E"/>
          <w:lang w:eastAsia="es-MX"/>
        </w:rPr>
        <w:t>l</w:t>
      </w:r>
      <w:r>
        <w:rPr>
          <w:rFonts w:ascii="Calibri" w:eastAsia="Times New Roman" w:hAnsi="Calibri" w:cs="Times New Roman"/>
          <w:color w:val="201F1E"/>
          <w:lang w:eastAsia="es-MX"/>
        </w:rPr>
        <w:t xml:space="preserve">a Inspección General de Justicia por medio de la cual </w:t>
      </w:r>
      <w:r w:rsidR="00383945">
        <w:rPr>
          <w:rFonts w:ascii="Calibri" w:eastAsia="Times New Roman" w:hAnsi="Calibri" w:cs="Times New Roman"/>
          <w:color w:val="201F1E"/>
          <w:lang w:eastAsia="es-MX"/>
        </w:rPr>
        <w:t>por medio de la cual se restablece,</w:t>
      </w:r>
      <w:r w:rsidR="00383945" w:rsidRPr="007B6ADF">
        <w:rPr>
          <w:rFonts w:ascii="Calibri" w:eastAsia="Times New Roman" w:hAnsi="Calibri" w:cs="Times New Roman"/>
          <w:color w:val="201F1E"/>
          <w:lang w:eastAsia="es-MX"/>
        </w:rPr>
        <w:t xml:space="preserve"> con algunas modificaciones, el </w:t>
      </w:r>
      <w:r w:rsidR="00383945">
        <w:rPr>
          <w:rFonts w:ascii="Calibri" w:eastAsia="Times New Roman" w:hAnsi="Calibri" w:cs="Times New Roman"/>
          <w:color w:val="201F1E"/>
          <w:lang w:eastAsia="es-MX"/>
        </w:rPr>
        <w:t>régimen anterior a la Resolución General IGJ N 6/2016</w:t>
      </w:r>
      <w:r w:rsidR="00C53D21">
        <w:rPr>
          <w:rFonts w:ascii="Calibri" w:eastAsia="Times New Roman" w:hAnsi="Calibri" w:cs="Times New Roman"/>
          <w:color w:val="201F1E"/>
          <w:lang w:eastAsia="es-MX"/>
        </w:rPr>
        <w:t>.</w:t>
      </w:r>
      <w:r w:rsidR="00E16730">
        <w:rPr>
          <w:rFonts w:ascii="Calibri" w:eastAsia="Times New Roman" w:hAnsi="Calibri" w:cs="Times New Roman"/>
          <w:color w:val="201F1E"/>
          <w:lang w:eastAsia="es-MX"/>
        </w:rPr>
        <w:t xml:space="preserve"> </w:t>
      </w:r>
      <w:r w:rsidR="001F36F5" w:rsidRPr="001F36F5">
        <w:rPr>
          <w:rFonts w:ascii="Calibri" w:eastAsia="Times New Roman" w:hAnsi="Calibri" w:cs="Times New Roman"/>
          <w:color w:val="000000"/>
          <w:bdr w:val="none" w:sz="0" w:space="0" w:color="auto" w:frame="1"/>
          <w:lang w:val="es-ES" w:eastAsia="es-MX"/>
        </w:rPr>
        <w:t>Para más información ver [</w:t>
      </w:r>
      <w:proofErr w:type="gramStart"/>
      <w:r w:rsidR="001F36F5" w:rsidRPr="001F36F5">
        <w:rPr>
          <w:rFonts w:ascii="Calibri" w:eastAsia="Times New Roman" w:hAnsi="Calibri" w:cs="Times New Roman"/>
          <w:color w:val="000000"/>
          <w:bdr w:val="none" w:sz="0" w:space="0" w:color="auto" w:frame="1"/>
          <w:lang w:val="es-ES" w:eastAsia="es-MX"/>
        </w:rPr>
        <w:t>link</w:t>
      </w:r>
      <w:proofErr w:type="gramEnd"/>
      <w:r w:rsidR="001F36F5" w:rsidRPr="001F36F5">
        <w:rPr>
          <w:rFonts w:ascii="Calibri" w:eastAsia="Times New Roman" w:hAnsi="Calibri" w:cs="Times New Roman"/>
          <w:color w:val="000000"/>
          <w:bdr w:val="none" w:sz="0" w:space="0" w:color="auto" w:frame="1"/>
          <w:lang w:val="es-ES" w:eastAsia="es-MX"/>
        </w:rPr>
        <w:t xml:space="preserve"> de la página web del Estudio].</w:t>
      </w:r>
    </w:p>
    <w:p w14:paraId="133D77A4" w14:textId="77777777" w:rsidR="001F36F5" w:rsidRDefault="001F36F5"/>
    <w:sectPr w:rsidR="001F3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72C4"/>
    <w:multiLevelType w:val="hybridMultilevel"/>
    <w:tmpl w:val="D0FAC68E"/>
    <w:lvl w:ilvl="0" w:tplc="1834D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CA9"/>
    <w:multiLevelType w:val="hybridMultilevel"/>
    <w:tmpl w:val="7232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7C2"/>
    <w:multiLevelType w:val="hybridMultilevel"/>
    <w:tmpl w:val="DAC45516"/>
    <w:lvl w:ilvl="0" w:tplc="A6EA0FC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E4400"/>
    <w:multiLevelType w:val="hybridMultilevel"/>
    <w:tmpl w:val="D0FAC68E"/>
    <w:lvl w:ilvl="0" w:tplc="1834D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6EC3"/>
    <w:multiLevelType w:val="hybridMultilevel"/>
    <w:tmpl w:val="83FE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4891"/>
    <w:multiLevelType w:val="hybridMultilevel"/>
    <w:tmpl w:val="72E0A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0B09"/>
    <w:multiLevelType w:val="hybridMultilevel"/>
    <w:tmpl w:val="315A9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8CF"/>
    <w:multiLevelType w:val="hybridMultilevel"/>
    <w:tmpl w:val="332E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5"/>
    <w:rsid w:val="000366B8"/>
    <w:rsid w:val="000905C8"/>
    <w:rsid w:val="000946E6"/>
    <w:rsid w:val="000F6180"/>
    <w:rsid w:val="00174933"/>
    <w:rsid w:val="00177C15"/>
    <w:rsid w:val="001E2F57"/>
    <w:rsid w:val="001F013F"/>
    <w:rsid w:val="001F36F5"/>
    <w:rsid w:val="00231CFF"/>
    <w:rsid w:val="00246988"/>
    <w:rsid w:val="00253E3F"/>
    <w:rsid w:val="002F3B04"/>
    <w:rsid w:val="00332B80"/>
    <w:rsid w:val="00383945"/>
    <w:rsid w:val="003A4374"/>
    <w:rsid w:val="003F70F4"/>
    <w:rsid w:val="00415321"/>
    <w:rsid w:val="00417BC4"/>
    <w:rsid w:val="00494759"/>
    <w:rsid w:val="00495319"/>
    <w:rsid w:val="004C1148"/>
    <w:rsid w:val="00502814"/>
    <w:rsid w:val="00505BE5"/>
    <w:rsid w:val="005221ED"/>
    <w:rsid w:val="00533795"/>
    <w:rsid w:val="006A325C"/>
    <w:rsid w:val="006B4E5E"/>
    <w:rsid w:val="006E5966"/>
    <w:rsid w:val="007023D9"/>
    <w:rsid w:val="0076261B"/>
    <w:rsid w:val="007B6ADF"/>
    <w:rsid w:val="007D74D2"/>
    <w:rsid w:val="00821FF3"/>
    <w:rsid w:val="00823BE9"/>
    <w:rsid w:val="00832153"/>
    <w:rsid w:val="00836213"/>
    <w:rsid w:val="00843D18"/>
    <w:rsid w:val="008A5D8E"/>
    <w:rsid w:val="008F01CC"/>
    <w:rsid w:val="00902DA0"/>
    <w:rsid w:val="009A06F7"/>
    <w:rsid w:val="00A64084"/>
    <w:rsid w:val="00AA4B33"/>
    <w:rsid w:val="00AA4FEE"/>
    <w:rsid w:val="00B12319"/>
    <w:rsid w:val="00B26DF3"/>
    <w:rsid w:val="00BD1204"/>
    <w:rsid w:val="00C53D21"/>
    <w:rsid w:val="00C81826"/>
    <w:rsid w:val="00E079D2"/>
    <w:rsid w:val="00E16730"/>
    <w:rsid w:val="00E83B64"/>
    <w:rsid w:val="00F74819"/>
    <w:rsid w:val="00FA0524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BA06"/>
  <w15:chartTrackingRefBased/>
  <w15:docId w15:val="{ACA295CB-B051-452C-9E2A-1FF732BF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xmsonormal">
    <w:name w:val="x_xxmsonormal"/>
    <w:basedOn w:val="Normal"/>
    <w:rsid w:val="001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F36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1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9475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221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1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F01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1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1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1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08C5B668F1D4897FF1C78FE83FD9D" ma:contentTypeVersion="12" ma:contentTypeDescription="Create a new document." ma:contentTypeScope="" ma:versionID="7263b16e56f743bf28466afc5d6a65ed">
  <xsd:schema xmlns:xsd="http://www.w3.org/2001/XMLSchema" xmlns:xs="http://www.w3.org/2001/XMLSchema" xmlns:p="http://schemas.microsoft.com/office/2006/metadata/properties" xmlns:ns3="cd5bbba5-6f01-4971-976f-123f45931385" xmlns:ns4="f4f3d206-ab57-4882-8f8a-f21e3584efd4" targetNamespace="http://schemas.microsoft.com/office/2006/metadata/properties" ma:root="true" ma:fieldsID="135d0e3e4cc1786a30f70d16bd09e787" ns3:_="" ns4:_="">
    <xsd:import namespace="cd5bbba5-6f01-4971-976f-123f45931385"/>
    <xsd:import namespace="f4f3d206-ab57-4882-8f8a-f21e3584e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bba5-6f01-4971-976f-123f45931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d206-ab57-4882-8f8a-f21e3584e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97E97-4313-48C4-B5EE-61D9498FF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CAA30-1DD2-4938-B05C-1463095A6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7391E-7911-4283-A928-00D8543A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bbba5-6f01-4971-976f-123f45931385"/>
    <ds:schemaRef ds:uri="f4f3d206-ab57-4882-8f8a-f21e3584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Barroca</dc:creator>
  <cp:keywords/>
  <dc:description/>
  <cp:lastModifiedBy>MARIEL DOMÍNGUEZ</cp:lastModifiedBy>
  <cp:revision>2</cp:revision>
  <dcterms:created xsi:type="dcterms:W3CDTF">2020-08-06T16:57:00Z</dcterms:created>
  <dcterms:modified xsi:type="dcterms:W3CDTF">2020-08-06T16:57:00Z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0x0101003A908C5B668F1D4897FF1C78FE83FD9D</vt:lpwstr>
  </property>
</Properties>
</file>